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06" w:rsidRDefault="007420F8">
      <w:pPr>
        <w:pStyle w:val="a5"/>
        <w:widowControl w:val="0"/>
        <w:overflowPunct w:val="0"/>
        <w:jc w:val="center"/>
      </w:pPr>
      <w:bookmarkStart w:id="0" w:name="_GoBack"/>
      <w:bookmarkEnd w:id="0"/>
      <w:r>
        <w:rPr>
          <w:rFonts w:ascii="標楷體" w:eastAsia="標楷體" w:hAnsi="標楷體" w:cs="Gungsuh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3207386</wp:posOffset>
                </wp:positionH>
                <wp:positionV relativeFrom="paragraph">
                  <wp:posOffset>-19046</wp:posOffset>
                </wp:positionV>
                <wp:extent cx="989966" cy="1403988"/>
                <wp:effectExtent l="0" t="0" r="634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F4F06" w:rsidRDefault="007420F8">
                            <w:pPr>
                              <w:widowControl w:val="0"/>
                              <w:overflowPunct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cs="新細明體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2.55pt;margin-top:-1.5pt;width:77.9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" stroked="f">
                <v:textbox style="mso-fit-shape-to-text:t">
                  <w:txbxContent>
                    <w:p w:rsidR="00FF4F06" w:rsidRDefault="007420F8">
                      <w:pPr>
                        <w:widowControl w:val="0"/>
                        <w:overflowPunct w:val="0"/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cs="新細明體"/>
                        </w:rPr>
                        <w:t>（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附件一</w:t>
                      </w:r>
                      <w:r>
                        <w:rPr>
                          <w:rFonts w:ascii="標楷體" w:eastAsia="標楷體" w:hAnsi="標楷體" w:cs="新細明體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點燃星火：科學教案召集令｜教案徵稿比賽教案</w:t>
      </w:r>
    </w:p>
    <w:p w:rsidR="00FF4F06" w:rsidRDefault="00FF4F06">
      <w:pPr>
        <w:widowControl w:val="0"/>
        <w:overflowPunct w:val="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2426"/>
        <w:gridCol w:w="220"/>
        <w:gridCol w:w="1011"/>
        <w:gridCol w:w="1327"/>
        <w:gridCol w:w="1565"/>
        <w:gridCol w:w="1736"/>
      </w:tblGrid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課程主題名稱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教案設計者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任教學校</w:t>
            </w:r>
            <w:r>
              <w:rPr>
                <w:rFonts w:ascii="標楷體" w:eastAsia="標楷體" w:hAnsi="標楷體" w:cs="Gungsuh"/>
              </w:rPr>
              <w:t>/</w:t>
            </w:r>
            <w:r>
              <w:rPr>
                <w:rFonts w:ascii="標楷體" w:eastAsia="標楷體" w:hAnsi="標楷體" w:cs="Gungsuh"/>
              </w:rPr>
              <w:t>就讀學校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教學對象（年級）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授課節數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教學設計理念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教學目標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議題融入（選填）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參照資料：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請根據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議題融入說明手冊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19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項議題為主】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核心素養</w:t>
            </w:r>
          </w:p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8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 xml:space="preserve"> p.3~p.7 </w:t>
            </w:r>
          </w:p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Cardo"/>
                <w:color w:val="666666"/>
                <w:sz w:val="20"/>
                <w:szCs w:val="20"/>
              </w:rPr>
              <w:t xml:space="preserve">→ 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自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-J-B1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：能分析歸納、製作圖表、使用資訊及數學運算等方法，整理自然科學資訊或數，並利用口語、影像、文字與圖案、繪圖或實物、科學名詞、數學公式、模型等，表達探究之過程、發現與成果、價值和限制等</w:t>
            </w:r>
            <w:r>
              <w:rPr>
                <w:rFonts w:ascii="標楷體" w:eastAsia="標楷體" w:hAnsi="標楷體" w:cs="Gungsuh"/>
                <w:color w:val="666666"/>
              </w:rPr>
              <w:t>。】</w:t>
            </w:r>
          </w:p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9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學習表現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10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>p.21</w:t>
            </w:r>
          </w:p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→ ti-Ⅳ-1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能依據已知的自然科學知識概念，經由自我或團體探索與討論的過程，想像當使用的觀察方法或實驗方法改變時，其結果可能產生的差異；並能嘗試在指導下以創新思考和方法得到新的模型、成品或結果</w:t>
            </w:r>
            <w:r>
              <w:rPr>
                <w:rFonts w:ascii="標楷體" w:eastAsia="標楷體" w:hAnsi="標楷體" w:cs="Gungsuh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11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學習內容</w:t>
            </w:r>
          </w:p>
          <w:p w:rsidR="00FF4F06" w:rsidRDefault="00FF4F06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12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>p.22</w:t>
            </w:r>
          </w:p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→ Bd-Ⅳ-1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生態系中的能量來源是太陽，能量會經由食物鏈在不同生物間流轉。】</w:t>
            </w:r>
          </w:p>
          <w:p w:rsidR="00FF4F06" w:rsidRDefault="007420F8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13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參考資料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overflowPunct w:val="0"/>
              <w:spacing w:before="67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【說明：請寫出教案設計時所使用的參考資料】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配合月刊資源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overflowPunct w:val="0"/>
              <w:spacing w:before="67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【說明：請寫出所使用之月刊資源（期號、文章標題）】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課程架構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0998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7420F8">
            <w:pPr>
              <w:overflowPunct w:val="0"/>
              <w:spacing w:before="67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【說明：請以清楚的架構寫出各節課教學目標、主題與課程活動】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第一節課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FF4F06" w:rsidRDefault="00FF4F06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9"/>
        <w:gridCol w:w="73"/>
        <w:gridCol w:w="938"/>
        <w:gridCol w:w="88"/>
        <w:gridCol w:w="2804"/>
        <w:gridCol w:w="125"/>
        <w:gridCol w:w="1611"/>
      </w:tblGrid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bookmarkStart w:id="1" w:name="_30j0zll"/>
            <w:bookmarkEnd w:id="1"/>
            <w:r>
              <w:rPr>
                <w:rFonts w:ascii="標楷體" w:eastAsia="標楷體" w:hAnsi="標楷體" w:cs="Gungsuh"/>
              </w:rPr>
              <w:lastRenderedPageBreak/>
              <w:t>第二節課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第三節課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第四節課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06" w:rsidRDefault="007420F8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FF4F06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6" w:rsidRDefault="00FF4F06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FF4F06" w:rsidRDefault="007420F8">
      <w:pPr>
        <w:overflowPunct w:val="0"/>
        <w:jc w:val="center"/>
      </w:pPr>
      <w:r>
        <w:rPr>
          <w:rFonts w:ascii="標楷體" w:eastAsia="標楷體" w:hAnsi="標楷體" w:cs="Gungsuh"/>
          <w:b/>
        </w:rPr>
        <w:t>（可自行增加課堂數）</w:t>
      </w:r>
    </w:p>
    <w:sectPr w:rsidR="00FF4F06">
      <w:pgSz w:w="11906" w:h="16838"/>
      <w:pgMar w:top="720" w:right="454" w:bottom="720" w:left="45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F8" w:rsidRDefault="007420F8">
      <w:r>
        <w:separator/>
      </w:r>
    </w:p>
  </w:endnote>
  <w:endnote w:type="continuationSeparator" w:id="0">
    <w:p w:rsidR="007420F8" w:rsidRDefault="0074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F8" w:rsidRDefault="007420F8">
      <w:r>
        <w:rPr>
          <w:color w:val="000000"/>
        </w:rPr>
        <w:separator/>
      </w:r>
    </w:p>
  </w:footnote>
  <w:footnote w:type="continuationSeparator" w:id="0">
    <w:p w:rsidR="007420F8" w:rsidRDefault="0074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153F"/>
    <w:multiLevelType w:val="multilevel"/>
    <w:tmpl w:val="82E2BE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4F06"/>
    <w:rsid w:val="007420F8"/>
    <w:rsid w:val="00DF769E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0C35E-8F79-461A-B8F7-3CCC74A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Standard"/>
    <w:next w:val="Standard"/>
    <w:uiPriority w:val="9"/>
    <w:qFormat/>
    <w:pPr>
      <w:widowControl/>
      <w:spacing w:before="280" w:after="28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Bullet"/>
    <w:basedOn w:val="Standard"/>
  </w:style>
  <w:style w:type="paragraph" w:styleId="a9">
    <w:name w:val="List Paragraph"/>
    <w:basedOn w:val="Standard"/>
    <w:pPr>
      <w:ind w:left="480"/>
    </w:pPr>
  </w:style>
  <w:style w:type="paragraph" w:styleId="aa">
    <w:name w:val="Balloon Text"/>
    <w:basedOn w:val="Standard"/>
    <w:rPr>
      <w:rFonts w:ascii="Cambria" w:hAnsi="Cambria" w:cs="Times New Roman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</w:rPr>
  </w:style>
  <w:style w:type="paragraph" w:styleId="ab">
    <w:name w:val="Subtitle"/>
    <w:basedOn w:val="a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  <w:style w:type="character" w:styleId="ad">
    <w:name w:val="FollowedHyperlink"/>
    <w:basedOn w:val="a0"/>
    <w:rPr>
      <w:color w:val="954F72"/>
      <w:u w:val="single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styleId="af0">
    <w:name w:val="Placeholder Text"/>
    <w:basedOn w:val="a0"/>
    <w:rPr>
      <w:color w:val="808080"/>
    </w:rPr>
  </w:style>
  <w:style w:type="character" w:customStyle="1" w:styleId="af1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1155CC"/>
      <w:sz w:val="20"/>
      <w:szCs w:val="20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13" Type="http://schemas.openxmlformats.org/officeDocument/2006/relationships/hyperlink" Target="https://www.naer.edu.tw/PageSyllabus?fid=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Upload/file/29143/105750.pdf" TargetMode="External"/><Relationship Id="rId12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r.edu.tw/PageSyllabus?fid=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r.edu.tw/PageSyllabus?fid=5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陳妍頻</dc:creator>
  <cp:lastModifiedBy>ym230</cp:lastModifiedBy>
  <cp:revision>2</cp:revision>
  <dcterms:created xsi:type="dcterms:W3CDTF">2023-08-11T05:19:00Z</dcterms:created>
  <dcterms:modified xsi:type="dcterms:W3CDTF">2023-08-11T05:19:00Z</dcterms:modified>
</cp:coreProperties>
</file>